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8D" w:rsidRDefault="00C9008D" w:rsidP="00C9008D">
      <w:pPr>
        <w:pStyle w:val="1"/>
        <w:spacing w:line="300" w:lineRule="exact"/>
      </w:pPr>
      <w:r>
        <w:t>(7631-99-4)硝酸钠的理化及危险特性表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88"/>
        <w:gridCol w:w="1934"/>
        <w:gridCol w:w="2363"/>
      </w:tblGrid>
      <w:tr w:rsidR="00C9008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中文名：硝酸钠；智利硝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sodium nitrate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NaNO</w:t>
            </w:r>
            <w:r>
              <w:rPr>
                <w:rFonts w:ascii="宋体" w:hAnsi="宋体"/>
                <w:vertAlign w:val="subscript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分子量：85.01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UN编号：1498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氧化剂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危规号：51055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CAS号：7631－99－4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外观与性状：无色透明或白微带黄色的菱形结晶，味微苦。易潮解。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 w:hint="eastAsia"/>
              </w:rPr>
              <w:t>易溶于水、液氨，微溶于乙醇、甘油。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 306.8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 无资料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 2.26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 无意义</w:t>
            </w:r>
          </w:p>
        </w:tc>
      </w:tr>
      <w:tr w:rsidR="00C9008D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分解温度（℃）：380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 —临界温度（℃） —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  无意义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燃烧分解产物：氮氧化物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禁忌物：强还原剂、活性金属粉末、强酸、易燃或可燃物、铝。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危险特性：</w:t>
            </w:r>
            <w:r>
              <w:rPr>
                <w:rFonts w:ascii="宋体" w:hAnsi="宋体" w:hint="eastAsia"/>
              </w:rPr>
              <w:t>强氧化剂。遇可燃物着火时，能助长火势。与易氧化物、硫磺、亚硫酸氢钠、还原剂、强酸接触能引起燃烧爆炸。燃烧分解时，放出有毒的氮氧化物。受高热分解，产生有毒的氮氧化物。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灭火方法：消防人员必须佩戴过滤式防毒面具、穿全身消防服。用用雾状水、砂土灭火。切勿将水直接射至熔融物，以免引起严重的流淌火灾或引起剧烈的沸溅。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3236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C9008D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对皮肤、粘膜有刺激性。大量口服中毒时，患者剧烈腹痛、呕吐、血便、休克、全身抽搐、昏迷，甚至死亡。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皮肤接触：脱去被污染的衣着，用大量流动清水冲洗。  ※眼睛接触：提起眼睑，用流动清水或生理盐水彻底冲洗。就医。   ※吸入：迅速脱离现场至空气新鲜处。保持呼吸道通畅。如呼吸困难，给输氧。如呼吸停止，立即进行人工呼吸，就医。  ※食入：误服者用水漱口，给饮牛奶或蛋清。就医。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※呼吸系统防护：可能接触其粉尘时，建议佩戴自吸过滤式防尘口罩。    ※眼睛防护：戴化学安全防护眼镜。    ※身体防护：穿聚乙烯防毒衣。   ※手防护：戴氯丁橡胶手套。   ※其他：工作场所禁止吸烟，进食、饮水。工作毕，淋浴更衣。单独存放被毒物污染的衣服，洗后备用。保持良好的卫生习惯。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一般作业工作服。不要直接接触泄漏物。勿使泄漏物与还原剂、有机物、易燃物接触。小量泄漏：用大量水冲洗，洗水稀释后放入废水系统。大量泄漏：收集回收或运至废物处理场所处置。</w:t>
            </w:r>
          </w:p>
        </w:tc>
      </w:tr>
      <w:tr w:rsidR="00C9008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C9008D" w:rsidRDefault="00C9008D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08D" w:rsidRDefault="00C9008D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。应与易燃或可燃物、还原剂、硫、磷等分开存放。切忌混储混运。搬运时要轻装轻卸，防止包装及容器损坏。分装和搬运作业要注意个人防护。运输按规定路线行驶。勿在居民区和人口稠密区停留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8D"/>
    <w:rsid w:val="00C9008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E0FD0-CB47-46F5-9162-0BCF359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9008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9008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>zyhq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